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现场决赛参赛要求</w:t>
      </w:r>
    </w:p>
    <w:p>
      <w:pPr>
        <w:ind w:firstLine="580" w:firstLineChars="200"/>
        <w:rPr>
          <w:rFonts w:hint="eastAsia" w:ascii="Times New Roman" w:hAnsi="Times New Roman" w:eastAsia="方正仿宋简体"/>
          <w:sz w:val="29"/>
          <w:szCs w:val="29"/>
        </w:rPr>
      </w:pPr>
      <w:r>
        <w:rPr>
          <w:rFonts w:hint="eastAsia" w:ascii="Times New Roman" w:hAnsi="Times New Roman" w:eastAsia="方正仿宋简体"/>
          <w:sz w:val="29"/>
          <w:szCs w:val="29"/>
        </w:rPr>
        <w:t>1.现场比赛采取匿名方式进行，禁止参赛教师进行省市、学校和个人的介绍。</w:t>
      </w:r>
    </w:p>
    <w:p>
      <w:pPr>
        <w:ind w:firstLine="580" w:firstLineChars="200"/>
        <w:rPr>
          <w:rFonts w:hint="eastAsia" w:ascii="Times New Roman" w:hAnsi="Times New Roman" w:eastAsia="方正仿宋简体"/>
          <w:sz w:val="29"/>
          <w:szCs w:val="29"/>
        </w:rPr>
      </w:pPr>
      <w:r>
        <w:rPr>
          <w:rFonts w:hint="eastAsia" w:ascii="Times New Roman" w:hAnsi="Times New Roman" w:eastAsia="方正仿宋简体"/>
          <w:sz w:val="29"/>
          <w:szCs w:val="29"/>
        </w:rPr>
        <w:t>2.参赛教师不对参赛作品进行讲解，仅围绕评委提问开展答辩，参赛团队成员（不超过3人）均可进入赛场参与答辩。</w:t>
      </w:r>
    </w:p>
    <w:p>
      <w:pPr>
        <w:ind w:firstLine="580" w:firstLineChars="200"/>
        <w:rPr>
          <w:rFonts w:hint="eastAsia" w:ascii="Times New Roman" w:hAnsi="Times New Roman" w:eastAsia="方正仿宋简体"/>
          <w:sz w:val="29"/>
          <w:szCs w:val="29"/>
        </w:rPr>
      </w:pPr>
      <w:r>
        <w:rPr>
          <w:rFonts w:hint="eastAsia" w:ascii="Times New Roman" w:hAnsi="Times New Roman" w:eastAsia="方正仿宋简体"/>
          <w:sz w:val="29"/>
          <w:szCs w:val="29"/>
        </w:rPr>
        <w:t>3.参赛教师可自带笔记本电脑，在答辩需要时展示用于佐证教学设计、教学实施的相关资料（如：微课视频、自制软件、成绩数据等），现场提供网络环境。</w:t>
      </w:r>
    </w:p>
    <w:p>
      <w:pPr>
        <w:ind w:firstLine="580" w:firstLineChars="200"/>
        <w:rPr>
          <w:rFonts w:hint="eastAsia" w:ascii="Times New Roman" w:hAnsi="Times New Roman" w:eastAsia="方正仿宋简体"/>
          <w:sz w:val="29"/>
          <w:szCs w:val="29"/>
        </w:rPr>
      </w:pPr>
      <w:r>
        <w:rPr>
          <w:rFonts w:hint="eastAsia" w:ascii="Times New Roman" w:hAnsi="Times New Roman" w:eastAsia="方正仿宋简体"/>
          <w:sz w:val="29"/>
          <w:szCs w:val="29"/>
        </w:rPr>
        <w:t>4.信息化实训教学比赛，主讲人还需利用自行携带的工具、材料（现场仅为备用）完成实践操作（与初评视频的操作内容一致）。“平面挫削”毛坯、“手工点钞”练功券、“零件尺寸测量”检测轴由大赛组委会提供。</w:t>
      </w:r>
    </w:p>
    <w:p>
      <w:pPr>
        <w:ind w:firstLine="580" w:firstLineChars="200"/>
        <w:rPr>
          <w:rFonts w:hint="eastAsia" w:ascii="Times New Roman" w:hAnsi="Times New Roman" w:eastAsia="方正仿宋简体"/>
          <w:sz w:val="29"/>
          <w:szCs w:val="2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66F31"/>
    <w:rsid w:val="46E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2017-11-08T08:01:00Z</dcterms:created>
  <dc:creator>Administrator</dc:creator>
  <cp:lastModifiedBy>Administrator</cp:lastModifiedBy>
  <dcterms:modified xsi:type="dcterms:W3CDTF">2017-11-08T08:02:32Z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