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DA" w:rsidRDefault="009C2FDA" w:rsidP="009C2FDA">
      <w:pPr>
        <w:snapToGrid w:val="0"/>
        <w:spacing w:line="300" w:lineRule="auto"/>
        <w:jc w:val="center"/>
        <w:rPr>
          <w:rFonts w:ascii="楷体" w:eastAsia="楷体" w:hAnsi="楷体"/>
          <w:szCs w:val="21"/>
        </w:rPr>
      </w:pPr>
      <w:r w:rsidRPr="009C2FDA">
        <w:rPr>
          <w:rFonts w:ascii="楷体" w:eastAsia="楷体" w:hAnsi="楷体"/>
          <w:szCs w:val="21"/>
        </w:rPr>
        <w:t>202</w:t>
      </w:r>
      <w:r w:rsidR="006A3CCF">
        <w:rPr>
          <w:rFonts w:ascii="楷体" w:eastAsia="楷体" w:hAnsi="楷体"/>
          <w:szCs w:val="21"/>
        </w:rPr>
        <w:t>3</w:t>
      </w:r>
      <w:r w:rsidRPr="009C2FDA">
        <w:rPr>
          <w:rFonts w:ascii="楷体" w:eastAsia="楷体" w:hAnsi="楷体" w:hint="eastAsia"/>
          <w:szCs w:val="21"/>
        </w:rPr>
        <w:t>年</w:t>
      </w:r>
      <w:bookmarkStart w:id="0" w:name="_GoBack"/>
      <w:bookmarkEnd w:id="0"/>
      <w:r w:rsidRPr="009C2FDA">
        <w:rPr>
          <w:rFonts w:ascii="楷体" w:eastAsia="楷体" w:hAnsi="楷体" w:hint="eastAsia"/>
          <w:szCs w:val="21"/>
        </w:rPr>
        <w:t>“田家炳杯”全日制教育硕士专业学位研究生（职业技术教育领域）教学技能大赛</w:t>
      </w:r>
    </w:p>
    <w:p w:rsidR="009C2FDA" w:rsidRDefault="009C2FDA" w:rsidP="009C2FDA">
      <w:pPr>
        <w:snapToGrid w:val="0"/>
        <w:spacing w:line="300" w:lineRule="auto"/>
        <w:jc w:val="center"/>
        <w:rPr>
          <w:rFonts w:ascii="楷体" w:eastAsia="楷体" w:hAnsi="楷体"/>
          <w:szCs w:val="21"/>
        </w:rPr>
      </w:pPr>
    </w:p>
    <w:p w:rsidR="006471D9" w:rsidRPr="003D3901" w:rsidRDefault="006471D9" w:rsidP="000232CA">
      <w:pPr>
        <w:spacing w:line="300" w:lineRule="auto"/>
        <w:jc w:val="left"/>
        <w:rPr>
          <w:rFonts w:eastAsia="黑体"/>
          <w:sz w:val="28"/>
          <w:szCs w:val="21"/>
        </w:rPr>
      </w:pPr>
      <w:r w:rsidRPr="003D3901">
        <w:rPr>
          <w:rFonts w:eastAsia="黑体" w:hint="eastAsia"/>
          <w:sz w:val="28"/>
          <w:szCs w:val="21"/>
        </w:rPr>
        <w:t>附件</w:t>
      </w:r>
      <w:r w:rsidRPr="003D3901">
        <w:rPr>
          <w:rFonts w:eastAsia="黑体" w:hint="eastAsia"/>
          <w:sz w:val="28"/>
          <w:szCs w:val="21"/>
        </w:rPr>
        <w:t>2</w:t>
      </w:r>
    </w:p>
    <w:p w:rsidR="00F52ED7" w:rsidRPr="003D3901" w:rsidRDefault="00F52ED7" w:rsidP="000232CA">
      <w:pPr>
        <w:snapToGrid w:val="0"/>
        <w:spacing w:line="300" w:lineRule="auto"/>
        <w:jc w:val="center"/>
        <w:rPr>
          <w:rFonts w:eastAsia="黑体" w:cs="创艺简标宋"/>
          <w:bCs/>
          <w:sz w:val="28"/>
          <w:szCs w:val="28"/>
        </w:rPr>
      </w:pPr>
      <w:r w:rsidRPr="003D3901">
        <w:rPr>
          <w:rFonts w:eastAsia="黑体" w:cs="创艺简标宋" w:hint="eastAsia"/>
          <w:bCs/>
          <w:sz w:val="28"/>
          <w:szCs w:val="28"/>
        </w:rPr>
        <w:t>初赛评分</w:t>
      </w:r>
      <w:r w:rsidR="005B3DC6" w:rsidRPr="003D3901">
        <w:rPr>
          <w:rFonts w:eastAsia="黑体" w:cs="创艺简标宋" w:hint="eastAsia"/>
          <w:bCs/>
          <w:sz w:val="28"/>
          <w:szCs w:val="28"/>
        </w:rPr>
        <w:t>参考表</w:t>
      </w:r>
    </w:p>
    <w:tbl>
      <w:tblPr>
        <w:tblW w:w="5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"/>
        <w:gridCol w:w="729"/>
        <w:gridCol w:w="7873"/>
        <w:gridCol w:w="583"/>
      </w:tblGrid>
      <w:tr w:rsidR="007A39A5" w:rsidRPr="00F071EE" w:rsidTr="007A39A5">
        <w:trPr>
          <w:trHeight w:val="340"/>
          <w:jc w:val="center"/>
        </w:trPr>
        <w:tc>
          <w:tcPr>
            <w:tcW w:w="365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ind w:rightChars="-25" w:right="-53"/>
              <w:jc w:val="center"/>
              <w:rPr>
                <w:rFonts w:ascii="宋体" w:hAnsi="Calibri" w:cs="仿宋_GB2312"/>
                <w:b/>
                <w:sz w:val="24"/>
              </w:rPr>
            </w:pPr>
            <w:r w:rsidRPr="00F071EE">
              <w:rPr>
                <w:rFonts w:ascii="宋体" w:hAnsi="宋体" w:cs="仿宋_GB2312" w:hint="eastAsia"/>
                <w:b/>
                <w:sz w:val="24"/>
              </w:rPr>
              <w:t>比赛环节</w:t>
            </w:r>
          </w:p>
        </w:tc>
        <w:tc>
          <w:tcPr>
            <w:tcW w:w="368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 w:rsidRPr="00F071EE">
              <w:rPr>
                <w:rFonts w:ascii="宋体" w:hAnsi="宋体" w:cs="仿宋_GB2312" w:hint="eastAsia"/>
                <w:b/>
                <w:sz w:val="24"/>
              </w:rPr>
              <w:t>评价内容</w:t>
            </w:r>
          </w:p>
        </w:tc>
        <w:tc>
          <w:tcPr>
            <w:tcW w:w="3973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 w:rsidRPr="00F071EE">
              <w:rPr>
                <w:rFonts w:ascii="宋体" w:hAnsi="宋体" w:cs="仿宋_GB2312" w:hint="eastAsia"/>
                <w:b/>
                <w:sz w:val="24"/>
              </w:rPr>
              <w:t>评价标准</w:t>
            </w:r>
          </w:p>
        </w:tc>
        <w:tc>
          <w:tcPr>
            <w:tcW w:w="294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 w:rsidRPr="00F071EE">
              <w:rPr>
                <w:rFonts w:ascii="宋体" w:hAnsi="宋体" w:cs="仿宋_GB2312" w:hint="eastAsia"/>
                <w:b/>
                <w:sz w:val="24"/>
              </w:rPr>
              <w:t>分值</w:t>
            </w:r>
          </w:p>
        </w:tc>
      </w:tr>
      <w:tr w:rsidR="007A39A5" w:rsidRPr="00F071EE" w:rsidTr="007A39A5">
        <w:trPr>
          <w:trHeight w:val="340"/>
          <w:jc w:val="center"/>
        </w:trPr>
        <w:tc>
          <w:tcPr>
            <w:tcW w:w="365" w:type="pct"/>
            <w:vMerge w:val="restart"/>
            <w:vAlign w:val="center"/>
          </w:tcPr>
          <w:p w:rsidR="00397C32" w:rsidRPr="00F071EE" w:rsidRDefault="00AD2CFE" w:rsidP="008A3F6D">
            <w:pPr>
              <w:adjustRightInd w:val="0"/>
              <w:snapToGrid w:val="0"/>
              <w:spacing w:line="276" w:lineRule="auto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教学</w:t>
            </w:r>
            <w:r w:rsidR="00397C32" w:rsidRPr="00F071EE">
              <w:rPr>
                <w:rFonts w:ascii="宋体" w:hAnsi="宋体" w:cs="仿宋_GB2312" w:hint="eastAsia"/>
                <w:sz w:val="24"/>
              </w:rPr>
              <w:t>视频</w:t>
            </w:r>
          </w:p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rPr>
                <w:rFonts w:ascii="宋体" w:hAnsi="宋体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（7</w:t>
            </w:r>
            <w:r w:rsidRPr="00F071EE">
              <w:rPr>
                <w:rFonts w:ascii="宋体" w:hAnsi="宋体" w:cs="仿宋_GB2312"/>
                <w:sz w:val="24"/>
              </w:rPr>
              <w:t>0</w:t>
            </w:r>
            <w:r w:rsidRPr="00F071EE">
              <w:rPr>
                <w:rFonts w:ascii="宋体" w:hAnsi="宋体" w:cs="仿宋_GB2312" w:hint="eastAsia"/>
                <w:sz w:val="24"/>
              </w:rPr>
              <w:t>分）</w:t>
            </w:r>
          </w:p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368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选题设计</w:t>
            </w:r>
          </w:p>
        </w:tc>
        <w:tc>
          <w:tcPr>
            <w:tcW w:w="3973" w:type="pct"/>
            <w:vAlign w:val="center"/>
          </w:tcPr>
          <w:p w:rsidR="00397C32" w:rsidRPr="00F071EE" w:rsidRDefault="00FE1721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  <w:r w:rsidR="00F32AFE">
              <w:rPr>
                <w:rFonts w:ascii="宋体" w:hAnsi="宋体" w:hint="eastAsia"/>
                <w:sz w:val="24"/>
              </w:rPr>
              <w:t>中等职业教育教学理念</w:t>
            </w:r>
            <w:r w:rsidR="00397C32" w:rsidRPr="00F071EE">
              <w:rPr>
                <w:rFonts w:ascii="宋体" w:hAnsi="宋体" w:hint="eastAsia"/>
                <w:sz w:val="24"/>
              </w:rPr>
              <w:t>，</w:t>
            </w:r>
            <w:r w:rsidR="00F32AFE">
              <w:rPr>
                <w:rFonts w:ascii="宋体" w:hAnsi="宋体" w:hint="eastAsia"/>
                <w:sz w:val="24"/>
              </w:rPr>
              <w:t>从中职学生实际出发，</w:t>
            </w:r>
            <w:r w:rsidR="00397C32" w:rsidRPr="00F071EE">
              <w:rPr>
                <w:rFonts w:ascii="宋体" w:hAnsi="宋体"/>
                <w:sz w:val="24"/>
              </w:rPr>
              <w:t>体现以学生发展为本的思想</w:t>
            </w:r>
            <w:r w:rsidR="00397C32" w:rsidRPr="00F071EE">
              <w:rPr>
                <w:rFonts w:ascii="宋体" w:hAnsi="宋体" w:hint="eastAsia"/>
                <w:sz w:val="24"/>
              </w:rPr>
              <w:t>；</w:t>
            </w:r>
          </w:p>
          <w:p w:rsidR="00397C32" w:rsidRPr="00F071EE" w:rsidRDefault="00397C3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F071EE">
              <w:rPr>
                <w:rFonts w:ascii="宋体" w:hAnsi="宋体" w:hint="eastAsia"/>
                <w:sz w:val="24"/>
              </w:rPr>
              <w:t>选题简明，主要针对</w:t>
            </w:r>
            <w:r w:rsidR="00F32AFE">
              <w:rPr>
                <w:rFonts w:ascii="宋体" w:hAnsi="宋体" w:hint="eastAsia"/>
                <w:sz w:val="24"/>
              </w:rPr>
              <w:t>职业操作技能或相关专业知识</w:t>
            </w:r>
            <w:r w:rsidRPr="00F071EE">
              <w:rPr>
                <w:rFonts w:ascii="宋体" w:hAnsi="宋体" w:hint="eastAsia"/>
                <w:sz w:val="24"/>
              </w:rPr>
              <w:t>等进行讲授</w:t>
            </w:r>
            <w:r w:rsidR="00F32AFE">
              <w:rPr>
                <w:rFonts w:ascii="宋体" w:hAnsi="宋体" w:hint="eastAsia"/>
                <w:sz w:val="24"/>
              </w:rPr>
              <w:t>或开展理实一体教学</w:t>
            </w:r>
            <w:r w:rsidRPr="00F071EE">
              <w:rPr>
                <w:rFonts w:ascii="宋体" w:hAnsi="宋体" w:hint="eastAsia"/>
                <w:sz w:val="24"/>
              </w:rPr>
              <w:t>；</w:t>
            </w:r>
          </w:p>
          <w:p w:rsidR="00397C32" w:rsidRPr="00F071EE" w:rsidRDefault="00397C3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宋体" w:hint="eastAsia"/>
                <w:sz w:val="24"/>
              </w:rPr>
              <w:t>设计合理，围绕教学或学习中的常见、典型、有代表性的问题或内容进行针对性设计。</w:t>
            </w:r>
          </w:p>
        </w:tc>
        <w:tc>
          <w:tcPr>
            <w:tcW w:w="294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10</w:t>
            </w:r>
          </w:p>
        </w:tc>
      </w:tr>
      <w:tr w:rsidR="007A39A5" w:rsidRPr="00F071EE" w:rsidTr="007A39A5">
        <w:trPr>
          <w:trHeight w:val="340"/>
          <w:jc w:val="center"/>
        </w:trPr>
        <w:tc>
          <w:tcPr>
            <w:tcW w:w="365" w:type="pct"/>
            <w:vMerge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368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教学内容</w:t>
            </w:r>
          </w:p>
        </w:tc>
        <w:tc>
          <w:tcPr>
            <w:tcW w:w="3973" w:type="pct"/>
            <w:vAlign w:val="center"/>
          </w:tcPr>
          <w:p w:rsidR="00397C32" w:rsidRPr="00F071EE" w:rsidRDefault="00397C3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教学内容严谨，不出现任何</w:t>
            </w:r>
            <w:r w:rsidR="00F06EAA">
              <w:rPr>
                <w:rFonts w:ascii="宋体" w:hAnsi="宋体" w:cs="仿宋_GB2312" w:hint="eastAsia"/>
                <w:sz w:val="24"/>
              </w:rPr>
              <w:t>专业性、</w:t>
            </w:r>
            <w:r w:rsidRPr="00F071EE">
              <w:rPr>
                <w:rFonts w:ascii="宋体" w:hAnsi="宋体" w:cs="仿宋_GB2312" w:hint="eastAsia"/>
                <w:sz w:val="24"/>
              </w:rPr>
              <w:t>科学性错误；</w:t>
            </w:r>
          </w:p>
          <w:p w:rsidR="00397C32" w:rsidRPr="00F071EE" w:rsidRDefault="00397C32" w:rsidP="00F06EAA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教学内容的组织与编排，要符合学生的认知逻辑</w:t>
            </w:r>
            <w:r w:rsidR="00F06EAA">
              <w:rPr>
                <w:rFonts w:ascii="宋体" w:hAnsi="宋体" w:cs="仿宋_GB2312" w:hint="eastAsia"/>
                <w:sz w:val="24"/>
              </w:rPr>
              <w:t>和技能发展</w:t>
            </w:r>
            <w:r w:rsidRPr="00F071EE">
              <w:rPr>
                <w:rFonts w:ascii="宋体" w:hAnsi="宋体" w:cs="仿宋_GB2312" w:hint="eastAsia"/>
                <w:sz w:val="24"/>
              </w:rPr>
              <w:t>规律，过程主线清晰，重点突出，</w:t>
            </w:r>
            <w:r w:rsidR="00F06EAA">
              <w:rPr>
                <w:rFonts w:ascii="宋体" w:hAnsi="宋体" w:cs="仿宋_GB2312" w:hint="eastAsia"/>
                <w:sz w:val="24"/>
              </w:rPr>
              <w:t>符合相关的生产劳动组织和职业工作过程</w:t>
            </w:r>
            <w:r w:rsidRPr="00F071EE">
              <w:rPr>
                <w:rFonts w:ascii="宋体" w:hAnsi="宋体" w:cs="仿宋_GB2312" w:hint="eastAsia"/>
                <w:sz w:val="24"/>
              </w:rPr>
              <w:t>。</w:t>
            </w:r>
          </w:p>
        </w:tc>
        <w:tc>
          <w:tcPr>
            <w:tcW w:w="294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20</w:t>
            </w:r>
          </w:p>
        </w:tc>
      </w:tr>
      <w:tr w:rsidR="007A39A5" w:rsidRPr="00F071EE" w:rsidTr="007A39A5">
        <w:trPr>
          <w:trHeight w:val="340"/>
          <w:jc w:val="center"/>
        </w:trPr>
        <w:tc>
          <w:tcPr>
            <w:tcW w:w="365" w:type="pct"/>
            <w:vMerge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368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作品规范</w:t>
            </w:r>
          </w:p>
        </w:tc>
        <w:tc>
          <w:tcPr>
            <w:tcW w:w="3973" w:type="pct"/>
            <w:vAlign w:val="center"/>
          </w:tcPr>
          <w:p w:rsidR="00397C32" w:rsidRPr="00F071EE" w:rsidRDefault="00397C3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F071EE">
              <w:rPr>
                <w:rFonts w:ascii="宋体" w:hAnsi="Calibri" w:cs="仿宋_GB2312" w:hint="eastAsia"/>
                <w:sz w:val="24"/>
              </w:rPr>
              <w:t>作品具有一定的独立性和完整性</w:t>
            </w:r>
            <w:r w:rsidRPr="00F071EE">
              <w:rPr>
                <w:rFonts w:ascii="宋体" w:hAnsi="宋体" w:hint="eastAsia"/>
                <w:sz w:val="24"/>
              </w:rPr>
              <w:t>；</w:t>
            </w:r>
          </w:p>
          <w:p w:rsidR="00397C32" w:rsidRPr="00F071EE" w:rsidRDefault="00397C3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视频画质清晰、图像稳定、声音清楚（无杂音）、声音与画面同步；</w:t>
            </w:r>
          </w:p>
          <w:p w:rsidR="00397C32" w:rsidRPr="00F071EE" w:rsidRDefault="00397C3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课件设计要形象直观、层次分明、简单明了，教学辅助效果好；</w:t>
            </w:r>
          </w:p>
          <w:p w:rsidR="00397C32" w:rsidRPr="00F071EE" w:rsidRDefault="00557981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录制方法与工具可以</w:t>
            </w:r>
            <w:r w:rsidR="00397C32" w:rsidRPr="00F071EE">
              <w:rPr>
                <w:rFonts w:ascii="宋体" w:hAnsi="宋体" w:cs="仿宋_GB2312" w:hint="eastAsia"/>
                <w:sz w:val="24"/>
              </w:rPr>
              <w:t>自由组合，如用手写板、电子白板、黑板、白纸、</w:t>
            </w:r>
            <w:r w:rsidR="008A3F6D">
              <w:rPr>
                <w:rFonts w:ascii="宋体" w:hAnsi="宋体" w:cs="仿宋_GB2312"/>
                <w:sz w:val="24"/>
              </w:rPr>
              <w:t>PPT</w:t>
            </w:r>
            <w:r w:rsidR="00397C32" w:rsidRPr="00F071EE">
              <w:rPr>
                <w:rFonts w:ascii="宋体" w:hAnsi="宋体" w:cs="仿宋_GB2312" w:hint="eastAsia"/>
                <w:sz w:val="24"/>
              </w:rPr>
              <w:t xml:space="preserve"> 、Pad、</w:t>
            </w:r>
            <w:r w:rsidR="00941113">
              <w:rPr>
                <w:rFonts w:ascii="宋体" w:hAnsi="宋体" w:cs="仿宋_GB2312" w:hint="eastAsia"/>
                <w:sz w:val="24"/>
              </w:rPr>
              <w:t>录屏软件、</w:t>
            </w:r>
            <w:r w:rsidR="00397C32" w:rsidRPr="00F071EE">
              <w:rPr>
                <w:rFonts w:ascii="宋体" w:hAnsi="宋体" w:cs="仿宋_GB2312" w:hint="eastAsia"/>
                <w:sz w:val="24"/>
              </w:rPr>
              <w:t>手机、DV摄像机、数码相机等制作。</w:t>
            </w:r>
          </w:p>
        </w:tc>
        <w:tc>
          <w:tcPr>
            <w:tcW w:w="294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10</w:t>
            </w:r>
          </w:p>
        </w:tc>
      </w:tr>
      <w:tr w:rsidR="007A39A5" w:rsidRPr="00F071EE" w:rsidTr="007A39A5">
        <w:trPr>
          <w:trHeight w:val="340"/>
          <w:jc w:val="center"/>
        </w:trPr>
        <w:tc>
          <w:tcPr>
            <w:tcW w:w="365" w:type="pct"/>
            <w:vMerge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368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语言规范</w:t>
            </w:r>
          </w:p>
        </w:tc>
        <w:tc>
          <w:tcPr>
            <w:tcW w:w="3973" w:type="pct"/>
            <w:vAlign w:val="center"/>
          </w:tcPr>
          <w:p w:rsidR="00397C32" w:rsidRPr="00F071EE" w:rsidRDefault="00397C3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语言标准、清楚、有节奏感，富有感染力。</w:t>
            </w:r>
          </w:p>
        </w:tc>
        <w:tc>
          <w:tcPr>
            <w:tcW w:w="294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5</w:t>
            </w:r>
          </w:p>
        </w:tc>
      </w:tr>
      <w:tr w:rsidR="007A39A5" w:rsidRPr="00F071EE" w:rsidTr="007A39A5">
        <w:trPr>
          <w:trHeight w:val="340"/>
          <w:jc w:val="center"/>
        </w:trPr>
        <w:tc>
          <w:tcPr>
            <w:tcW w:w="365" w:type="pct"/>
            <w:vMerge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368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教学效果</w:t>
            </w:r>
          </w:p>
        </w:tc>
        <w:tc>
          <w:tcPr>
            <w:tcW w:w="3973" w:type="pct"/>
            <w:vAlign w:val="center"/>
          </w:tcPr>
          <w:p w:rsidR="00397C32" w:rsidRPr="000E6DBF" w:rsidRDefault="00397C3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完成设定的教学目标，有效解决实际教学问题；</w:t>
            </w:r>
          </w:p>
          <w:p w:rsidR="00397C32" w:rsidRPr="00F071EE" w:rsidRDefault="00397C3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教学过程深入浅出，形象生动，启发引导性强，有利于提升学生学习积极性和主动性；</w:t>
            </w:r>
          </w:p>
          <w:p w:rsidR="00397C32" w:rsidRPr="00F071EE" w:rsidRDefault="007A39A5" w:rsidP="00F06EAA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促进学生知识思维、方法技能、情感态度和价值观等</w:t>
            </w:r>
            <w:r w:rsidR="00F06EAA">
              <w:rPr>
                <w:rFonts w:ascii="宋体" w:hAnsi="宋体" w:cs="仿宋_GB2312" w:hint="eastAsia"/>
                <w:sz w:val="24"/>
              </w:rPr>
              <w:t>全</w:t>
            </w:r>
            <w:r>
              <w:rPr>
                <w:rFonts w:ascii="宋体" w:hAnsi="宋体" w:cs="仿宋_GB2312" w:hint="eastAsia"/>
                <w:sz w:val="24"/>
              </w:rPr>
              <w:t>面发</w:t>
            </w:r>
            <w:r w:rsidR="00397C32" w:rsidRPr="00F071EE">
              <w:rPr>
                <w:rFonts w:ascii="宋体" w:hAnsi="宋体" w:cs="仿宋_GB2312" w:hint="eastAsia"/>
                <w:sz w:val="24"/>
              </w:rPr>
              <w:t>展。</w:t>
            </w:r>
          </w:p>
        </w:tc>
        <w:tc>
          <w:tcPr>
            <w:tcW w:w="294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25</w:t>
            </w:r>
          </w:p>
        </w:tc>
      </w:tr>
      <w:tr w:rsidR="007A39A5" w:rsidRPr="00F071EE" w:rsidTr="007A39A5">
        <w:trPr>
          <w:trHeight w:val="340"/>
          <w:jc w:val="center"/>
        </w:trPr>
        <w:tc>
          <w:tcPr>
            <w:tcW w:w="365" w:type="pct"/>
            <w:vMerge w:val="restar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教学设计</w:t>
            </w:r>
          </w:p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（3</w:t>
            </w:r>
            <w:r w:rsidRPr="00F071EE">
              <w:rPr>
                <w:rFonts w:ascii="宋体" w:hAnsi="宋体" w:cs="仿宋_GB2312"/>
                <w:sz w:val="24"/>
              </w:rPr>
              <w:t>0</w:t>
            </w:r>
            <w:r w:rsidRPr="00F071EE">
              <w:rPr>
                <w:rFonts w:ascii="宋体" w:hAnsi="宋体" w:cs="仿宋_GB2312" w:hint="eastAsia"/>
                <w:sz w:val="24"/>
              </w:rPr>
              <w:t>分）</w:t>
            </w:r>
          </w:p>
        </w:tc>
        <w:tc>
          <w:tcPr>
            <w:tcW w:w="368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内容设计</w:t>
            </w:r>
          </w:p>
        </w:tc>
        <w:tc>
          <w:tcPr>
            <w:tcW w:w="3973" w:type="pct"/>
            <w:vAlign w:val="center"/>
          </w:tcPr>
          <w:p w:rsidR="00397C32" w:rsidRPr="00F071EE" w:rsidRDefault="00397C3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教学目标符合</w:t>
            </w:r>
            <w:r w:rsidR="00D76EB2">
              <w:rPr>
                <w:rFonts w:ascii="宋体" w:hAnsi="宋体" w:cs="仿宋_GB2312" w:hint="eastAsia"/>
                <w:sz w:val="24"/>
              </w:rPr>
              <w:t>专业人才培养目标</w:t>
            </w:r>
            <w:r w:rsidR="00442CC7">
              <w:rPr>
                <w:rFonts w:ascii="宋体" w:hAnsi="宋体" w:cs="仿宋_GB2312" w:hint="eastAsia"/>
                <w:sz w:val="24"/>
              </w:rPr>
              <w:t>和课程标准</w:t>
            </w:r>
            <w:r w:rsidR="00D76EB2">
              <w:rPr>
                <w:rFonts w:ascii="宋体" w:hAnsi="宋体" w:cs="仿宋_GB2312" w:hint="eastAsia"/>
                <w:sz w:val="24"/>
              </w:rPr>
              <w:t>，与职业岗位要求、职业技能标准、职业资格证书相对接</w:t>
            </w:r>
            <w:r w:rsidRPr="00F071EE">
              <w:rPr>
                <w:rFonts w:ascii="宋体" w:hAnsi="宋体" w:cs="仿宋_GB2312" w:hint="eastAsia"/>
                <w:sz w:val="24"/>
              </w:rPr>
              <w:t>；</w:t>
            </w:r>
          </w:p>
          <w:p w:rsidR="00397C32" w:rsidRPr="00F071EE" w:rsidRDefault="00397C3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教学</w:t>
            </w:r>
            <w:r w:rsidR="006A21DB">
              <w:rPr>
                <w:rFonts w:ascii="宋体" w:hAnsi="宋体" w:cs="仿宋_GB2312" w:hint="eastAsia"/>
                <w:sz w:val="24"/>
              </w:rPr>
              <w:t>模式符合理实一体、</w:t>
            </w:r>
            <w:r w:rsidR="00442CC7">
              <w:rPr>
                <w:rFonts w:ascii="宋体" w:hAnsi="宋体" w:cs="仿宋_GB2312" w:hint="eastAsia"/>
                <w:sz w:val="24"/>
              </w:rPr>
              <w:t>行动导向、任务引领</w:t>
            </w:r>
            <w:r w:rsidR="006A21DB">
              <w:rPr>
                <w:rFonts w:ascii="宋体" w:hAnsi="宋体" w:cs="仿宋_GB2312" w:hint="eastAsia"/>
                <w:sz w:val="24"/>
              </w:rPr>
              <w:t>的职业教育</w:t>
            </w:r>
            <w:r w:rsidR="00442CC7">
              <w:rPr>
                <w:rFonts w:ascii="宋体" w:hAnsi="宋体" w:cs="仿宋_GB2312" w:hint="eastAsia"/>
                <w:sz w:val="24"/>
              </w:rPr>
              <w:t>教学</w:t>
            </w:r>
            <w:r w:rsidR="006A21DB">
              <w:rPr>
                <w:rFonts w:ascii="宋体" w:hAnsi="宋体" w:cs="仿宋_GB2312" w:hint="eastAsia"/>
                <w:sz w:val="24"/>
              </w:rPr>
              <w:t>理念</w:t>
            </w:r>
            <w:r w:rsidRPr="00F071EE">
              <w:rPr>
                <w:rFonts w:ascii="宋体" w:hAnsi="宋体" w:cs="仿宋_GB2312" w:hint="eastAsia"/>
                <w:sz w:val="24"/>
              </w:rPr>
              <w:t>；</w:t>
            </w:r>
          </w:p>
          <w:p w:rsidR="00397C32" w:rsidRPr="00F071EE" w:rsidRDefault="00D76EB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Calibri" w:cs="仿宋_GB2312" w:hint="eastAsia"/>
                <w:sz w:val="24"/>
              </w:rPr>
              <w:t>教学场景布置与职业工作环境有呼应</w:t>
            </w:r>
            <w:r w:rsidR="00397C32" w:rsidRPr="00F071EE">
              <w:rPr>
                <w:rFonts w:ascii="宋体" w:hAnsi="Calibri" w:cs="仿宋_GB2312" w:hint="eastAsia"/>
                <w:sz w:val="24"/>
              </w:rPr>
              <w:t>，</w:t>
            </w:r>
            <w:r>
              <w:rPr>
                <w:rFonts w:ascii="宋体" w:hAnsi="Calibri" w:cs="仿宋_GB2312" w:hint="eastAsia"/>
                <w:sz w:val="24"/>
              </w:rPr>
              <w:t>符合行业特点，有助于</w:t>
            </w:r>
            <w:r w:rsidR="00397C32" w:rsidRPr="00F071EE">
              <w:rPr>
                <w:rFonts w:ascii="宋体" w:hAnsi="Calibri" w:cs="仿宋_GB2312" w:hint="eastAsia"/>
                <w:sz w:val="24"/>
              </w:rPr>
              <w:t>学生</w:t>
            </w:r>
            <w:r>
              <w:rPr>
                <w:rFonts w:ascii="宋体" w:hAnsi="Calibri" w:cs="仿宋_GB2312" w:hint="eastAsia"/>
                <w:sz w:val="24"/>
              </w:rPr>
              <w:t>职业素质的养成</w:t>
            </w:r>
            <w:r w:rsidR="00397C32" w:rsidRPr="00F071EE">
              <w:rPr>
                <w:rFonts w:ascii="宋体" w:hAnsi="Calibri" w:cs="仿宋_GB2312" w:hint="eastAsia"/>
                <w:sz w:val="24"/>
              </w:rPr>
              <w:t>；</w:t>
            </w:r>
          </w:p>
          <w:p w:rsidR="00397C32" w:rsidRPr="00F071EE" w:rsidRDefault="00397C3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Calibri" w:cs="仿宋_GB2312" w:hint="eastAsia"/>
                <w:sz w:val="24"/>
              </w:rPr>
              <w:t>教学过程设计重点突出，难点清楚，把握准确，处理恰当；</w:t>
            </w:r>
          </w:p>
          <w:p w:rsidR="00397C32" w:rsidRPr="00F071EE" w:rsidRDefault="00397C3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Calibri" w:cs="仿宋_GB2312" w:hint="eastAsia"/>
                <w:sz w:val="24"/>
              </w:rPr>
              <w:t>教学</w:t>
            </w:r>
            <w:r w:rsidRPr="00F071EE">
              <w:rPr>
                <w:rFonts w:ascii="宋体" w:hAnsi="宋体" w:cs="仿宋_GB2312" w:hint="eastAsia"/>
                <w:sz w:val="24"/>
              </w:rPr>
              <w:t>方法</w:t>
            </w:r>
            <w:r w:rsidR="00442CC7">
              <w:rPr>
                <w:rFonts w:ascii="宋体" w:hAnsi="宋体" w:cs="仿宋_GB2312" w:hint="eastAsia"/>
                <w:sz w:val="24"/>
              </w:rPr>
              <w:t>针对</w:t>
            </w:r>
            <w:r w:rsidRPr="00F071EE">
              <w:rPr>
                <w:rFonts w:ascii="宋体" w:hAnsi="Calibri" w:cs="仿宋_GB2312" w:hint="eastAsia"/>
                <w:sz w:val="24"/>
              </w:rPr>
              <w:t>教学对象</w:t>
            </w:r>
            <w:r w:rsidR="00442CC7">
              <w:rPr>
                <w:rFonts w:ascii="宋体" w:hAnsi="Calibri" w:cs="仿宋_GB2312" w:hint="eastAsia"/>
                <w:sz w:val="24"/>
              </w:rPr>
              <w:t>特点</w:t>
            </w:r>
            <w:r w:rsidRPr="00F071EE">
              <w:rPr>
                <w:rFonts w:ascii="宋体" w:hAnsi="Calibri" w:cs="仿宋_GB2312" w:hint="eastAsia"/>
                <w:sz w:val="24"/>
              </w:rPr>
              <w:t>，教学辅助手段准备与使用清晰无误，教具及现代化教学手段运用恰当；</w:t>
            </w:r>
          </w:p>
          <w:p w:rsidR="00397C32" w:rsidRPr="00F071EE" w:rsidRDefault="00397C3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Calibri" w:cs="仿宋_GB2312" w:hint="eastAsia"/>
                <w:sz w:val="24"/>
              </w:rPr>
              <w:t>注重</w:t>
            </w:r>
            <w:r w:rsidRPr="00F071EE">
              <w:rPr>
                <w:rFonts w:ascii="宋体" w:hAnsi="宋体" w:cs="仿宋_GB2312" w:hint="eastAsia"/>
                <w:sz w:val="24"/>
              </w:rPr>
              <w:t>过程</w:t>
            </w:r>
            <w:r w:rsidRPr="00F071EE">
              <w:rPr>
                <w:rFonts w:ascii="宋体" w:hAnsi="Calibri" w:cs="仿宋_GB2312" w:hint="eastAsia"/>
                <w:sz w:val="24"/>
              </w:rPr>
              <w:t>性评价及生成性问题解决和利用。</w:t>
            </w:r>
          </w:p>
        </w:tc>
        <w:tc>
          <w:tcPr>
            <w:tcW w:w="294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25</w:t>
            </w:r>
          </w:p>
        </w:tc>
      </w:tr>
      <w:tr w:rsidR="007A39A5" w:rsidRPr="00F071EE" w:rsidTr="007A39A5">
        <w:trPr>
          <w:trHeight w:val="340"/>
          <w:jc w:val="center"/>
        </w:trPr>
        <w:tc>
          <w:tcPr>
            <w:tcW w:w="365" w:type="pct"/>
            <w:vMerge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368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规范创新</w:t>
            </w:r>
          </w:p>
        </w:tc>
        <w:tc>
          <w:tcPr>
            <w:tcW w:w="3973" w:type="pct"/>
            <w:vAlign w:val="center"/>
          </w:tcPr>
          <w:p w:rsidR="00397C32" w:rsidRPr="00F071EE" w:rsidRDefault="00397C32" w:rsidP="008A3F6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教学方案整体设计富有创新性，体现出课程改革的理念和要求，文档结构完整，布局合理，格式美观。</w:t>
            </w:r>
          </w:p>
        </w:tc>
        <w:tc>
          <w:tcPr>
            <w:tcW w:w="294" w:type="pct"/>
            <w:vAlign w:val="center"/>
          </w:tcPr>
          <w:p w:rsidR="00397C32" w:rsidRPr="00F071EE" w:rsidRDefault="00397C32" w:rsidP="008A3F6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 w:rsidRPr="00F071EE">
              <w:rPr>
                <w:rFonts w:ascii="宋体" w:hAnsi="宋体" w:cs="仿宋_GB2312" w:hint="eastAsia"/>
                <w:sz w:val="24"/>
              </w:rPr>
              <w:t>5</w:t>
            </w:r>
          </w:p>
        </w:tc>
      </w:tr>
    </w:tbl>
    <w:p w:rsidR="007F2DA7" w:rsidRDefault="007F2DA7" w:rsidP="006471D9">
      <w:pPr>
        <w:adjustRightInd w:val="0"/>
        <w:snapToGrid w:val="0"/>
        <w:ind w:left="945" w:hangingChars="450" w:hanging="945"/>
        <w:jc w:val="left"/>
        <w:rPr>
          <w:rFonts w:ascii="宋体" w:hAnsi="宋体"/>
          <w:szCs w:val="21"/>
        </w:rPr>
      </w:pPr>
    </w:p>
    <w:sectPr w:rsidR="007F2DA7" w:rsidSect="003D390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EAA" w:rsidRDefault="00F06EAA" w:rsidP="00F06EAA">
      <w:r>
        <w:separator/>
      </w:r>
    </w:p>
  </w:endnote>
  <w:endnote w:type="continuationSeparator" w:id="1">
    <w:p w:rsidR="00F06EAA" w:rsidRDefault="00F06EAA" w:rsidP="00F0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EAA" w:rsidRDefault="00F06EAA" w:rsidP="00F06EAA">
      <w:r>
        <w:separator/>
      </w:r>
    </w:p>
  </w:footnote>
  <w:footnote w:type="continuationSeparator" w:id="1">
    <w:p w:rsidR="00F06EAA" w:rsidRDefault="00F06EAA" w:rsidP="00F06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14B9"/>
    <w:multiLevelType w:val="hybridMultilevel"/>
    <w:tmpl w:val="F7CCEC5E"/>
    <w:lvl w:ilvl="0" w:tplc="22F2F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C32"/>
    <w:rsid w:val="000232CA"/>
    <w:rsid w:val="000C7791"/>
    <w:rsid w:val="001000B5"/>
    <w:rsid w:val="001F2554"/>
    <w:rsid w:val="00397C32"/>
    <w:rsid w:val="003D3901"/>
    <w:rsid w:val="00442CC7"/>
    <w:rsid w:val="00557981"/>
    <w:rsid w:val="005B3DC6"/>
    <w:rsid w:val="006471D9"/>
    <w:rsid w:val="006A21DB"/>
    <w:rsid w:val="006A3CCF"/>
    <w:rsid w:val="0077541E"/>
    <w:rsid w:val="007A39A5"/>
    <w:rsid w:val="007F2DA7"/>
    <w:rsid w:val="007F6518"/>
    <w:rsid w:val="008A3F6D"/>
    <w:rsid w:val="008C5E30"/>
    <w:rsid w:val="00941113"/>
    <w:rsid w:val="009B505F"/>
    <w:rsid w:val="009C2FDA"/>
    <w:rsid w:val="00AA0F35"/>
    <w:rsid w:val="00AA2FB4"/>
    <w:rsid w:val="00AC67DA"/>
    <w:rsid w:val="00AD2CFE"/>
    <w:rsid w:val="00BE2ADF"/>
    <w:rsid w:val="00D76EB2"/>
    <w:rsid w:val="00DB0015"/>
    <w:rsid w:val="00F06EAA"/>
    <w:rsid w:val="00F32AFE"/>
    <w:rsid w:val="00F52ED7"/>
    <w:rsid w:val="00FE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E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E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128</Words>
  <Characters>736</Characters>
  <Application>Microsoft Office Word</Application>
  <DocSecurity>0</DocSecurity>
  <Lines>6</Lines>
  <Paragraphs>1</Paragraphs>
  <ScaleCrop>false</ScaleCrop>
  <Company> 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asus-1</dc:creator>
  <cp:keywords/>
  <dc:description/>
  <cp:lastModifiedBy>Lenovo</cp:lastModifiedBy>
  <cp:revision>182</cp:revision>
  <cp:lastPrinted>2022-06-08T03:47:00Z</cp:lastPrinted>
  <dcterms:created xsi:type="dcterms:W3CDTF">2019-04-29T08:28:00Z</dcterms:created>
  <dcterms:modified xsi:type="dcterms:W3CDTF">2023-03-20T13:40:00Z</dcterms:modified>
</cp:coreProperties>
</file>